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F0" w:rsidRPr="002F5C4E" w:rsidRDefault="001C14F0" w:rsidP="001C14F0">
      <w:pPr>
        <w:pStyle w:val="Prrafodelista"/>
        <w:numPr>
          <w:ilvl w:val="0"/>
          <w:numId w:val="8"/>
        </w:numPr>
        <w:rPr>
          <w:rFonts w:ascii="Verdana" w:hAnsi="Verdana" w:cs="Vrinda"/>
          <w:b/>
          <w:color w:val="323E4F" w:themeColor="text2" w:themeShade="BF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F5C4E">
        <w:rPr>
          <w:rFonts w:ascii="Verdana" w:hAnsi="Verdana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7574B83" wp14:editId="5AF8A06E">
            <wp:simplePos x="0" y="0"/>
            <wp:positionH relativeFrom="margin">
              <wp:posOffset>1358900</wp:posOffset>
            </wp:positionH>
            <wp:positionV relativeFrom="paragraph">
              <wp:posOffset>2023110</wp:posOffset>
            </wp:positionV>
            <wp:extent cx="3788410" cy="1924050"/>
            <wp:effectExtent l="76200" t="76200" r="135890" b="133350"/>
            <wp:wrapTopAndBottom/>
            <wp:docPr id="19" name="Imagen 19" descr="LINEA DEL TIEMPO DE LA GESTION DOCUMENTAL timeline | Timeto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 DEL TIEMPO DE LA GESTION DOCUMENTAL timeline | Timetoas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92405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F5C4E">
        <w:rPr>
          <w:rFonts w:ascii="Verdana" w:hAnsi="Verdana" w:cs="Vrinda"/>
          <w:b/>
          <w:color w:val="323E4F" w:themeColor="text2" w:themeShade="BF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LEY GENERAL DE ARCHIVOS</w:t>
      </w:r>
    </w:p>
    <w:p w:rsidR="001C14F0" w:rsidRPr="002F5C4E" w:rsidRDefault="001C14F0" w:rsidP="001C14F0">
      <w:pPr>
        <w:spacing w:after="0" w:line="240" w:lineRule="auto"/>
        <w:jc w:val="both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Los procesos de gestión documental se rigen bajo varias leyes, decretos y normas que establecen la forma correcta de llevar a cabo las tareas dentro de las empresas, todo en pro de la transparencia, la organización y el uso óptimo de la información. Una de las leyes que regula y gestiona gran parte de los deberes documentales y archivísticos es la Ley General de Archivos 594 del 2000. </w:t>
      </w:r>
    </w:p>
    <w:p w:rsidR="001C14F0" w:rsidRPr="002F5C4E" w:rsidRDefault="001C14F0" w:rsidP="001C14F0">
      <w:pPr>
        <w:spacing w:after="0" w:line="240" w:lineRule="auto"/>
        <w:jc w:val="both"/>
        <w:rPr>
          <w:rFonts w:ascii="Verdana" w:hAnsi="Verdana" w:cs="Vrinda"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jc w:val="both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La transparencia y el orden de la información es la base requerida para que los ciudadanos en general puedan acceder a la información de interés público, ya sea de empresas privadas que prestan servicios a la comunidad, como de empresas y organizaciones del Estado. Para garantizar dichas bases, 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el gobierno aprobó el 14 de julio del año 2000 la </w:t>
      </w: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t>Ley 594, conocida como la </w:t>
      </w:r>
      <w:hyperlink r:id="rId9" w:tgtFrame="_blank" w:history="1">
        <w:r w:rsidRPr="002F5C4E">
          <w:rPr>
            <w:rFonts w:ascii="Verdana" w:hAnsi="Verdana" w:cs="Vrinda"/>
            <w:b/>
            <w:color w:val="222A35" w:themeColor="text2" w:themeShade="80"/>
            <w:sz w:val="28"/>
            <w:szCs w:val="24"/>
          </w:rPr>
          <w:t>Ley General de Archivos</w:t>
        </w:r>
      </w:hyperlink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, la cual establece los parámetros para llevar a cabo el reconocimiento de la </w:t>
      </w:r>
      <w:bookmarkStart w:id="1" w:name="gestión_documental"/>
      <w:r w:rsidRPr="002F5C4E">
        <w:rPr>
          <w:rFonts w:ascii="Verdana" w:hAnsi="Verdana" w:cs="Vrinda"/>
          <w:color w:val="000000" w:themeColor="text1"/>
          <w:sz w:val="24"/>
          <w:szCs w:val="24"/>
        </w:rPr>
        <w:fldChar w:fldCharType="begin"/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instrText xml:space="preserve"> HYPERLINK "https://atsgestion.net/gestion-documental/" \o "gestión documental" </w:instrTex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fldChar w:fldCharType="separate"/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gestión documental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fldChar w:fldCharType="end"/>
      </w:r>
      <w:bookmarkEnd w:id="1"/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, los conceptos básicos que surgen de ella y los principios por los cuales se debe regir el correcto ejercicio archivístico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.</w:t>
      </w:r>
    </w:p>
    <w:p w:rsidR="001C14F0" w:rsidRPr="002F5C4E" w:rsidRDefault="001C14F0" w:rsidP="001C14F0">
      <w:pPr>
        <w:spacing w:after="0" w:line="240" w:lineRule="auto"/>
        <w:jc w:val="both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Esta ley regula las prácticas del archivo público, archivo privado de interés público y del archivo total.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t>¿Cuál es el objetivo de la Ley 594 del 2000?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Categorizar los archivos de interés público y de utilidad de consulta nacional.</w:t>
      </w: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Controlar los documentos, su disposición final y su relevancia.</w:t>
      </w: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Evitar el agolpamiento de documentación innecesaria.</w:t>
      </w: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Facilitar la gestión documental y garantizar su transparencia.</w:t>
      </w: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Promover la organización, conservación y consulta de los archivos de interés económico, social y tecnológico.</w:t>
      </w: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Consolidar una cultura de información nacional.</w:t>
      </w:r>
    </w:p>
    <w:p w:rsidR="001C14F0" w:rsidRPr="002F5C4E" w:rsidRDefault="001C14F0" w:rsidP="001C14F0">
      <w:pPr>
        <w:pStyle w:val="Prrafodelista"/>
        <w:numPr>
          <w:ilvl w:val="0"/>
          <w:numId w:val="9"/>
        </w:numPr>
        <w:spacing w:after="0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Racionalización de la información y sus categorías.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t>¿Cuáles son los principios de la Ley General de Archivos?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noProof/>
          <w:color w:val="000000" w:themeColor="text1"/>
          <w:sz w:val="24"/>
          <w:szCs w:val="24"/>
          <w:lang w:eastAsia="es-CO"/>
        </w:rPr>
        <w:lastRenderedPageBreak/>
        <w:drawing>
          <wp:inline distT="0" distB="0" distL="0" distR="0" wp14:anchorId="055915D3" wp14:editId="45A705B6">
            <wp:extent cx="6497918" cy="4591588"/>
            <wp:effectExtent l="76200" t="76200" r="132080" b="133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1.jp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384" cy="4598277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Teniendo en cuenta que la prioridad de esta ley es el correcto manejo de la documentación a favor de los ciudadanos y su interés de consulta, los principios que la rigen y que se desarrollan son los siguientes: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Finalidad del archivo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mantener una documentación organizada ayuda y garantiza a conservar una información con fácil acceso y recuperación.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Importancia de los archivos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la ley establece y 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respalda la importancia de la gestión y la administración de los documentos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, tanto para las empresas, como para quienes deseen consultar información de interés nacional. De este modo se categorizan de manera eficaz los documentos, ayudando a depurar y a administrar lo que es necesario.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Institucionalidad e instrumentalización: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el uso de instrumentos archivísticos y el manejo de los documentos y su reposo o archivo, respalda las actividades de gestión, siendo las bases principales para procesos políticos, económicos y legales, 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garantizando los derechos de todos los involucrados en los procesos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Responsabilidad y organización: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la ley respalda el uso de la información, por lo que es enfática en el cumplimiento de las normas descritas en ella, tanto en organizaciones públicas como privadas con interés público.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Dirección y coordinación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la ley designa al </w:t>
      </w:r>
      <w:hyperlink r:id="rId11" w:tgtFrame="_blank" w:history="1">
        <w:r w:rsidRPr="002F5C4E">
          <w:rPr>
            <w:rFonts w:ascii="Verdana" w:hAnsi="Verdana" w:cs="Vrinda"/>
            <w:color w:val="000000" w:themeColor="text1"/>
            <w:sz w:val="24"/>
            <w:szCs w:val="24"/>
          </w:rPr>
          <w:t>Archivo General de la Nación</w:t>
        </w:r>
      </w:hyperlink>
      <w:r w:rsidRPr="002F5C4E">
        <w:rPr>
          <w:rFonts w:ascii="Verdana" w:hAnsi="Verdana" w:cs="Vrinda"/>
          <w:color w:val="000000" w:themeColor="text1"/>
          <w:sz w:val="24"/>
          <w:szCs w:val="24"/>
        </w:rPr>
        <w:t> como el principal ente de regulación, con el fin de proteger la memoria histórica y cultural de la nación.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lastRenderedPageBreak/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Administración y acceso: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el Estado se responsabiliza por la correcta gestión de la información y de garantizar el acceso a ella por parte de la ciudadanía en general.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Racionalidad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establecido el orden, es necesario que el manejo de los documentos sea realizado por personal especializado o personal común, siempre y cuando sigan las leyes y normas establecidas, de tal manera que su consulta esté más que garantizada.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Modernización: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el crecimiento y la implementación de nuevas estrategias, ayudan a las entidades a optimizar y a automatizar de la mejor manera los procesos de gestión documental.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color w:val="000000" w:themeColor="text1"/>
          <w:sz w:val="24"/>
          <w:szCs w:val="24"/>
        </w:rPr>
        <w:t> 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Interpretación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 finalmente, con el fin de que la ley se siga al pie de la letra, el </w:t>
      </w:r>
      <w:bookmarkStart w:id="2" w:name="AGN"/>
      <w:r w:rsidRPr="002F5C4E">
        <w:rPr>
          <w:rFonts w:ascii="Verdana" w:hAnsi="Verdana" w:cs="Vrinda"/>
          <w:color w:val="000000" w:themeColor="text1"/>
          <w:sz w:val="24"/>
          <w:szCs w:val="24"/>
        </w:rPr>
        <w:fldChar w:fldCharType="begin"/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instrText xml:space="preserve"> HYPERLINK "https://atsgestion.net/gestion-documental/" \l "tema-5" \o "AGN" </w:instrTex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fldChar w:fldCharType="separate"/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t>AGN</w:t>
      </w:r>
      <w:r w:rsidRPr="002F5C4E">
        <w:rPr>
          <w:rFonts w:ascii="Verdana" w:hAnsi="Verdana" w:cs="Vrinda"/>
          <w:color w:val="000000" w:themeColor="text1"/>
          <w:sz w:val="24"/>
          <w:szCs w:val="24"/>
        </w:rPr>
        <w:fldChar w:fldCharType="end"/>
      </w:r>
      <w:bookmarkEnd w:id="2"/>
      <w:r w:rsidRPr="002F5C4E">
        <w:rPr>
          <w:rFonts w:ascii="Verdana" w:hAnsi="Verdana" w:cs="Vrinda"/>
          <w:color w:val="000000" w:themeColor="text1"/>
          <w:sz w:val="24"/>
          <w:szCs w:val="24"/>
        </w:rPr>
        <w:t> tiene la responsabilidad de brindar asesoría a todo el interesado en llevar a cabo procesos de administración de documentos.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t>Definiciones</w:t>
      </w:r>
    </w:p>
    <w:p w:rsidR="001C14F0" w:rsidRPr="002F5C4E" w:rsidRDefault="001C14F0" w:rsidP="001C14F0">
      <w:pPr>
        <w:pStyle w:val="Textoindependiente"/>
        <w:spacing w:before="1"/>
        <w:rPr>
          <w:rFonts w:ascii="Verdana" w:hAnsi="Verdana" w:cs="Vrinda"/>
          <w:b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SIG: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Sistema Integrado de Gestión. Plataforma común que unifica los sistemas de gestión del Ministerio del Trabajo, para orientar y fortalecer la gestión, dar dirección, articular y alinear conjuntamente los requisitos de los subsistemas que lo componen.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Cliente: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Organización o persona que recibe un producto. El cliente puede ser interno o externo a la organización.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P.H.V.A.: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Corresponde a las siglas del Planear, Hacer, Verificar y Actuar.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Gestión Documental: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conjunto de actividades Administrativas y técnicas tendientes a la planificación, manejo y organización de la documentación producida y recibida por las entidades, desde su origen hasta su destino final, con el objeto de facilitar su utilización y conservación.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Sistema Repositorio Documental SIG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 Herramienta de apoyo a la gestión documental del Sistema Integrado de Gestión del Ministerio del Trabajo, con el propósito de facilitar el acceso, control y publicación de los documentos generados por los diferentes procesos que conforman el SIG.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Documento: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Información y su medio de soporte. El medio de soporte puede ser papel, disco magnético, óptico o electrónico, fotografía o muestra patrón o una combinación de éstos. Los documentos pueden ser (procedimientos, instructivos, formatos, planes, programas, matrices, documentos de origen externo; entre otros). En el Ministerio del Trabajo los documentos son los relacionados en el Anexo 1 – Pirámide Documental.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Documento Interno: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aquel elaborado por los procesos de la entidad incluidos los registros, para que la entidad demuestre el cumplimiento de sus funciones y que le permitan asegurarse de la eficaz planificación, operación y control de </w:t>
      </w:r>
      <w:proofErr w:type="gramStart"/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sus proceso</w:t>
      </w:r>
      <w:proofErr w:type="gramEnd"/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lastRenderedPageBreak/>
        <w:t>Documento Externo: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aquel elaborado por entes externos a la institución pero que inciden en la ejecución de los procesos y procedimientos del Sistema Integrado de Gestión del Ministerio del Trabajo. Entre los documentos externos se pueden considerar normas, códigos, leyes, decretos, resoluciones, manuales entre otros.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Elaboración: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cuando se reúne la información y se prepara el borrador del documento.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Revisión: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Cuando se verifica la adecuación de los documentos para que sean versión inicial (o cuando sea necesario).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Aprobación: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Aceptación de un documento que garantiza su aplicación desde el punto de vista del cumplimiento y coherencia con el Sistema Integrado de Gestión.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Publicación: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el proceso que permite dar a conocer un documento.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Distribución: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la actividad por medio de la cual un documento aprobado se entrega a los interesados para su aplicación.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Modificación: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Mecanismo a través del cual se realizan cambios necesarios en los documentos. Pueden ser de forma o de fondo.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Documento Obsoleto: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un documento que ha perdido su vigencia en fecha o contenido.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Copia Controlada: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el documento copia del original, sobre el cual existe control y responsabilidad para informar y suministrar las actualizaciones que se realicen.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Copia No Controlada: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Copia del documento original en medio físico o magnético entregado a un tercero con fines de información. Estas copias están identificadas con la leyenda “COPIA NO CONTROLADA”, sobre estas no hay responsabilidad de actualización.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Pirámide documental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 es la representación gráfica de los documentos definidos en el Sistema Integrado de Gestión.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Tabla de retención documental: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Listado de series, con sus correspondientes tipos documentales, a las cuales se asigna el tiempo de permanencia en cada etapa del ciclo vital de los documentos. 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Plan Estratégico: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un instrumento que debe reflejar la misión, visión, objetivos, indicadores, estrategias y orientaciones generales del sector y de la institución para dar respuesta a la política económica, social y ambiental que fueron adoptadas por el Gobierno en el Plan Nacional de Desarrollo.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Plan de Acción: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un instrumento que articula estratégicamente las acciones del Ministerio permitiendo la identificación sistemática de sus acciones a fin de cumplir con los Planes Estratégicos.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lastRenderedPageBreak/>
        <w:t>Objetivos Sectoriales: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Son los compromisos de política que el sector deberá alcanzar para el cumplimiento de las metas previstas en el Plan Nacional de Desarrollo.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Objetivos Institucionales: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Son las responsabilidades del Ministerio en el ámbito de sus competencias para ser alcanzadas en el cuatrienio. Resultados que el Ministerio aspira obtener en las áreas de su competencia.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Política: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Directriz o lineamiento general que sirve fundamentalmente para orientar la acción institucional y facilitar el proceso de toma de decisiones.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Política de Calidad: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Intención (es) y Orientación (es) de una entidad relativa (s) a la calidad tal como se expresa (n) formalmente por la alta dirección de la entidad.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Objetivo de Calidad: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Algo ambicionado o pretendido relativo a la calidad.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Manual del Sistema Integrado de Gestión: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el documento que describe y especifica el Sistema de calidad de la entidad.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Proceso: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Conjunto de actividades mutuamente relacionadas o que interactúan, las cuales transforman elementos de entrada en resultados.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Mapa de Procesos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 Representación gráfica documentada de la estructura general del sistema de calidad de la entidad, en donde además se presentan los procesos que lo componen así como sus relaciones principales.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Caracterización de proceso: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documento usado para describir la estructura de cada proceso, estableciendo entre otros, su objetivo, alcance, responsable, entradas, salidas y las actividades de acuerdo con el ciclo P.H.V.A.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Mapa de Riesgos: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documento para organizar la información que describe los riesgos de la entidad. El mapa de riesgos es una representación final de la probabilidad e impacto de uno o más riesgos frente a un proceso, proyecto o programa. Un mapa de riesgos puede adoptar la forma de un cuadro resumen que muestre cada uno de los pasos llevados a cabo para su levantamiento.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Indicadores: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Herramientas para clarificar y definir, de forma más precisa, objetivos e impactos y son medidas verificables de cambio o resultado de actividades o acciones desarrollados por la entidad.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Plan: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Documento que contempla en forma ordenada y coherente las metas, estrategias, directrices y técnicas en tiempo y espacio, así como los instrumentos, mecanismos y acciones que se utilizarán para llegar a los fines deseados. Un plan es un instrumento dinámico sujeto a modificaciones en sus componentes en función de la evaluación periódica de sus resultados.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Programa: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Son documentos escritos que definen con claridad los objetivos de una organización y describe los métodos que se van a emplear para alcanzar dichos propósitos.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Procedimiento: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Forma especificada para llevar a cabo una actividad o un proceso. Es recomendable que los procedimientos definan, como mínimo: quién hace qué, dónde, cuándo, por qué y cómo.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Instructivo: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Documento que describe de forma secuencial y con alto nivel de detalle actividades u operaciones muy específicas.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Guía: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Pautas de acción, esenciales ante un problema, establece recomendaciones, sugerencias u orientaciones sobre un tema específico.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Anexo: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sección de información adicional que amplía la información de un documento. Puede presentar formatos particulares como gráficos, tablas, tipos de planillas de registros, entre otros.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Formato: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Documento diseñado para la recolección de información y que proporciona evidencia de una acción.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Registro: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Documento que presenta resultados obtenidos o proporciona evidencia de actividades ejecutadas.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Listados Maestros: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Listas en las cuales se relacionan los documentos controlados del Ministerio del Trabajo.</w:t>
      </w:r>
    </w:p>
    <w:p w:rsidR="001C14F0" w:rsidRPr="002F5C4E" w:rsidRDefault="001C14F0" w:rsidP="001C14F0">
      <w:pPr>
        <w:rPr>
          <w:rFonts w:ascii="Verdana" w:hAnsi="Verdana" w:cs="Vrinda"/>
          <w:b/>
          <w:color w:val="222A35" w:themeColor="text2" w:themeShade="80"/>
          <w:sz w:val="28"/>
          <w:szCs w:val="24"/>
        </w:rPr>
      </w:pP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br w:type="page"/>
      </w:r>
    </w:p>
    <w:p w:rsidR="001C14F0" w:rsidRPr="002F5C4E" w:rsidRDefault="001C14F0" w:rsidP="001C14F0">
      <w:pPr>
        <w:spacing w:after="0" w:line="240" w:lineRule="auto"/>
        <w:jc w:val="center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lastRenderedPageBreak/>
        <w:t>PIRAMIDE DOCUMENTAL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noProof/>
          <w:lang w:eastAsia="es-CO"/>
        </w:rPr>
        <w:drawing>
          <wp:anchor distT="0" distB="0" distL="0" distR="0" simplePos="0" relativeHeight="251660288" behindDoc="0" locked="0" layoutInCell="1" allowOverlap="1" wp14:anchorId="3392EA97" wp14:editId="263E63AC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4975860" cy="4943475"/>
            <wp:effectExtent l="95250" t="95250" r="91440" b="104775"/>
            <wp:wrapTopAndBottom/>
            <wp:docPr id="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494347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color w:val="222A35" w:themeColor="text2" w:themeShade="80"/>
          <w:sz w:val="28"/>
          <w:szCs w:val="24"/>
        </w:rPr>
      </w:pPr>
      <w:r w:rsidRPr="002F5C4E">
        <w:rPr>
          <w:rFonts w:ascii="Verdana" w:hAnsi="Verdana" w:cs="Vrinda"/>
          <w:b/>
          <w:color w:val="222A35" w:themeColor="text2" w:themeShade="80"/>
          <w:sz w:val="28"/>
          <w:szCs w:val="24"/>
        </w:rPr>
        <w:t>Glosario.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ARCHIVO: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Conjunto de documentos, sea cual fuere su fecha, su forma y soporte material, acumulados en un proceso natural por una persona o institución pública o privada, en el transcurso de su gestión.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ACHIVO CENTRAL: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Agrupa documentos transferidos por los distintos archivos de gestión de la entidad respectiva, cuya consulta no es tan frecuente pero que siguen teniendo vigencia y son objeto de consulta por las propias oficinas y particulares en general.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ARCHIVO DE GESTIÓN: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Comprende toda la documentación que es sometida a continua utilización y consulta administrativa por las oficinas productoras u otras que la soliciten. Su circulación o trámite se realiza para dar respuesta o solución a los asuntos iniciados.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ARCHIVO GENERAL DE LA NACIÓN: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Establecimiento público encargado de formular, orientar y controlar la política archivística a nivel nacional. Es el organismo de dirección y coordinación del sistema Nacional de Archivos.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ARCHIVO HISTORICO: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A él se transfieren desde el archivo central los documentos de archivo de conservación permanente.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CICLO VITAL DEL DOCUMENTO: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Etapas sucesivas por las que atraviesan los documentos desde su producción o recepción en la oficina y su conservación temporal, hasta su eliminación o integración a un archivo permanente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CLASIFICACIÓN DOCUMENTAL: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Proceso archivístico mediante el cual se identifican y establecen las series que componen cada agrupación documental (fondo, sección y subsección), de acuerdo a la estructura orgánico- funcional de la entidad.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COMITÉ DE ARCHIVO: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Grupo asesor de la alta dirección, responsable de definir las políticas, los programas de trabajo y la toma de decisiones en los procesos administrativos y técnicos de los archivos.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CONSERVACIÓN DE DOCUMENTOS: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Conjunto de medidas correctivas o preventivas, adoptadas para garantizar la integridad física y funcional de los documentos de archivo, sin alterar su contenido.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CONSULTA DE DOCUMENTOS: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Acceso a un documento o grupo de documentos con el fin de conocer la información que contienen.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DESCRIPCIÓN DOCUMENTAL: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 xml:space="preserve"> Es el proceso de análisis de los documentos de archivo o de sus agrupaciones, que permite su identificación, localización y recuperación, para su gestión o la investigación.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DISPOSICIÓN FINAL DE DOCUMENTOS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 Selección de los documentos en cualquier etapa del ciclo vital, con miras a su conservación temporal, permanente, o a su eliminación conforme a lo dispuesto en las Tablas de Retención Documental y/o Tablas de Valoración Documental.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bCs/>
          <w:color w:val="000000" w:themeColor="text1"/>
          <w:sz w:val="24"/>
          <w:szCs w:val="24"/>
        </w:rPr>
      </w:pP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sz w:val="24"/>
        </w:rPr>
      </w:pPr>
      <w:r w:rsidRPr="002F5C4E">
        <w:rPr>
          <w:rFonts w:ascii="Verdana" w:hAnsi="Verdana" w:cs="Vrinda"/>
          <w:b/>
          <w:bCs/>
          <w:color w:val="222A35" w:themeColor="text2" w:themeShade="80"/>
          <w:sz w:val="24"/>
          <w:szCs w:val="24"/>
          <w:u w:val="single"/>
        </w:rPr>
        <w:t>DISTRIBUCIÓN DE DOCUMENTOS</w:t>
      </w: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: Actividades tendientes a garantizar que los documentos</w:t>
      </w:r>
      <w:r w:rsidRPr="002F5C4E">
        <w:rPr>
          <w:rFonts w:ascii="Verdana" w:hAnsi="Verdana" w:cs="Vrinda"/>
          <w:sz w:val="24"/>
        </w:rPr>
        <w:t xml:space="preserve"> lleguen a su destinatario</w:t>
      </w:r>
    </w:p>
    <w:p w:rsidR="001C14F0" w:rsidRPr="002F5C4E" w:rsidRDefault="001C14F0" w:rsidP="001C14F0">
      <w:pPr>
        <w:spacing w:after="0" w:line="240" w:lineRule="auto"/>
        <w:rPr>
          <w:rFonts w:ascii="Verdana" w:hAnsi="Verdana" w:cs="Vrinda"/>
          <w:sz w:val="24"/>
        </w:rPr>
      </w:pPr>
    </w:p>
    <w:p w:rsidR="001C14F0" w:rsidRPr="002F5C4E" w:rsidRDefault="001C14F0" w:rsidP="001C14F0">
      <w:pPr>
        <w:rPr>
          <w:rFonts w:ascii="Verdana" w:hAnsi="Verdana" w:cs="Vrinda"/>
          <w:b/>
          <w:color w:val="323E4F" w:themeColor="text2" w:themeShade="BF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C4E">
        <w:rPr>
          <w:rFonts w:ascii="Verdana" w:hAnsi="Verdana" w:cs="Vrinda"/>
          <w:b/>
          <w:color w:val="323E4F" w:themeColor="text2" w:themeShade="BF"/>
          <w:sz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ACTIVIDAD 1</w:t>
      </w:r>
    </w:p>
    <w:p w:rsidR="001C14F0" w:rsidRPr="002F5C4E" w:rsidRDefault="001C14F0" w:rsidP="001C14F0">
      <w:pPr>
        <w:rPr>
          <w:rFonts w:ascii="Verdana" w:hAnsi="Verdana" w:cs="Vrinda"/>
          <w:bCs/>
          <w:color w:val="000000" w:themeColor="text1"/>
          <w:sz w:val="24"/>
          <w:szCs w:val="24"/>
        </w:rPr>
      </w:pPr>
      <w:r w:rsidRPr="002F5C4E">
        <w:rPr>
          <w:rFonts w:ascii="Verdana" w:hAnsi="Verdana" w:cs="Vrinda"/>
          <w:bCs/>
          <w:color w:val="000000" w:themeColor="text1"/>
          <w:sz w:val="24"/>
          <w:szCs w:val="24"/>
        </w:rPr>
        <w:t>Realice la lectura acerca de Ley General de Archivos y desarrolle las siguientes preguntas: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¿Cuál es la ley general de archivos?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¿Cómo se crea el Comité de archivo?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¿Cuál es la importancia de la Ley General de archivo?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¿Qué es la Ley 594 de 2000 resumen?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Elabore un mapa conceptual acerca de la Ley General de Archivos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Elabore una sopa de letras con las palabras que conforman el Glosario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Haga una interpretación acerca de la Pirámide documental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 xml:space="preserve">Consulte los siguientes temas: 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Style w:val="Textoennegrita"/>
          <w:rFonts w:ascii="Verdana" w:hAnsi="Verdana" w:cs="Vrinda"/>
          <w:color w:val="7D7B7B"/>
          <w:sz w:val="23"/>
          <w:szCs w:val="23"/>
        </w:rPr>
        <w:t>¿</w:t>
      </w:r>
      <w:r w:rsidRPr="002F5C4E">
        <w:rPr>
          <w:rFonts w:ascii="Verdana" w:hAnsi="Verdana" w:cs="Vrinda"/>
          <w:b/>
          <w:bCs/>
          <w:color w:val="222222"/>
        </w:rPr>
        <w:t>En qué consiste la iniciativa Cero Papel del gobierno colombiano?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Fonts w:ascii="Verdana" w:hAnsi="Verdana" w:cs="Vrinda"/>
          <w:b/>
          <w:bCs/>
          <w:color w:val="222222"/>
        </w:rPr>
        <w:t>¿Qué es mejor, digitalizar o microfilmar mi archivo?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Fonts w:ascii="Verdana" w:hAnsi="Verdana" w:cs="Vrinda"/>
          <w:b/>
          <w:bCs/>
          <w:color w:val="222222"/>
        </w:rPr>
        <w:t>¿Los documentos digitales tienen valor probatorio en un litigio?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Fonts w:ascii="Verdana" w:hAnsi="Verdana" w:cs="Vrinda"/>
          <w:b/>
          <w:bCs/>
          <w:color w:val="222222"/>
        </w:rPr>
        <w:t>¿Todos los documentos digitalizados deberían tener valor probatorio?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Fonts w:ascii="Verdana" w:hAnsi="Verdana" w:cs="Vrinda"/>
          <w:b/>
          <w:bCs/>
          <w:color w:val="222222"/>
        </w:rPr>
        <w:lastRenderedPageBreak/>
        <w:t>¿Cuál es el mejor formato para digitalizar los documentos?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Fonts w:ascii="Verdana" w:hAnsi="Verdana" w:cs="Vrinda"/>
          <w:b/>
          <w:bCs/>
          <w:color w:val="222222"/>
        </w:rPr>
        <w:t>¿Qué debería hacer con mi archivo una vez esté digitalizado?</w:t>
      </w:r>
    </w:p>
    <w:p w:rsidR="001C14F0" w:rsidRPr="002F5C4E" w:rsidRDefault="001C14F0" w:rsidP="001C14F0">
      <w:pPr>
        <w:pStyle w:val="Prrafodelista"/>
        <w:numPr>
          <w:ilvl w:val="0"/>
          <w:numId w:val="11"/>
        </w:numPr>
        <w:shd w:val="clear" w:color="auto" w:fill="FFFFFF"/>
        <w:rPr>
          <w:rFonts w:ascii="Verdana" w:hAnsi="Verdana" w:cs="Vrinda"/>
        </w:rPr>
      </w:pPr>
      <w:r w:rsidRPr="002F5C4E">
        <w:rPr>
          <w:rFonts w:ascii="Verdana" w:hAnsi="Verdana" w:cs="Vrinda"/>
          <w:b/>
          <w:bCs/>
          <w:color w:val="222222"/>
        </w:rPr>
        <w:t>¿Puedo aprovechar los archivos digitales para mejorar la productividad de mi organización?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Elabore una interpretación sobre la imagen acerca de  los principios de la Ley General de Archivos</w:t>
      </w:r>
    </w:p>
    <w:p w:rsidR="001C14F0" w:rsidRPr="002F5C4E" w:rsidRDefault="001C14F0" w:rsidP="001C14F0">
      <w:pPr>
        <w:pStyle w:val="Prrafodelista"/>
        <w:numPr>
          <w:ilvl w:val="0"/>
          <w:numId w:val="10"/>
        </w:numPr>
        <w:shd w:val="clear" w:color="auto" w:fill="FFFFFF"/>
        <w:rPr>
          <w:rFonts w:ascii="Verdana" w:hAnsi="Verdana" w:cs="Vrinda"/>
          <w:color w:val="222222"/>
        </w:rPr>
      </w:pPr>
      <w:r w:rsidRPr="002F5C4E">
        <w:rPr>
          <w:rFonts w:ascii="Verdana" w:hAnsi="Verdana" w:cs="Vrinda"/>
          <w:color w:val="222222"/>
        </w:rPr>
        <w:t>Elabore un mapa conceptual acerca de las principales definiciones acerca de la Ley General de Archivos</w:t>
      </w:r>
    </w:p>
    <w:p w:rsidR="00DC2AB4" w:rsidRPr="002F5C4E" w:rsidRDefault="00DC2AB4" w:rsidP="001C14F0">
      <w:pPr>
        <w:rPr>
          <w:rFonts w:ascii="Verdana" w:hAnsi="Verdana"/>
        </w:rPr>
      </w:pPr>
    </w:p>
    <w:sectPr w:rsidR="00DC2AB4" w:rsidRPr="002F5C4E" w:rsidSect="006A28FA">
      <w:headerReference w:type="default" r:id="rId13"/>
      <w:pgSz w:w="12242" w:h="18722" w:code="1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FE" w:rsidRDefault="00751FFE" w:rsidP="006A28FA">
      <w:pPr>
        <w:spacing w:after="0" w:line="240" w:lineRule="auto"/>
      </w:pPr>
      <w:r>
        <w:separator/>
      </w:r>
    </w:p>
  </w:endnote>
  <w:endnote w:type="continuationSeparator" w:id="0">
    <w:p w:rsidR="00751FFE" w:rsidRDefault="00751FFE" w:rsidP="006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FE" w:rsidRDefault="00751FFE" w:rsidP="006A28FA">
      <w:pPr>
        <w:spacing w:after="0" w:line="240" w:lineRule="auto"/>
      </w:pPr>
      <w:r>
        <w:separator/>
      </w:r>
    </w:p>
  </w:footnote>
  <w:footnote w:type="continuationSeparator" w:id="0">
    <w:p w:rsidR="00751FFE" w:rsidRDefault="00751FFE" w:rsidP="006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FA" w:rsidRPr="006A28FA" w:rsidRDefault="006A28FA" w:rsidP="006A28FA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 w:rsidRPr="006A28FA"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4D5E11B3" wp14:editId="2CD9E3C2">
          <wp:simplePos x="0" y="0"/>
          <wp:positionH relativeFrom="rightMargin">
            <wp:align>left</wp:align>
          </wp:positionH>
          <wp:positionV relativeFrom="paragraph">
            <wp:posOffset>-373380</wp:posOffset>
          </wp:positionV>
          <wp:extent cx="689610" cy="760095"/>
          <wp:effectExtent l="0" t="0" r="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er mej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28FA">
      <w:rPr>
        <w:b/>
        <w:noProof/>
        <w:lang w:eastAsia="es-CO"/>
      </w:rPr>
      <w:drawing>
        <wp:anchor distT="0" distB="0" distL="114300" distR="114300" simplePos="0" relativeHeight="251658240" behindDoc="0" locked="0" layoutInCell="1" allowOverlap="1" wp14:anchorId="2E0B363A" wp14:editId="7F2C186C">
          <wp:simplePos x="0" y="0"/>
          <wp:positionH relativeFrom="leftMargin">
            <wp:align>right</wp:align>
          </wp:positionH>
          <wp:positionV relativeFrom="paragraph">
            <wp:posOffset>-297180</wp:posOffset>
          </wp:positionV>
          <wp:extent cx="548640" cy="743989"/>
          <wp:effectExtent l="0" t="0" r="381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yerm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28FA">
      <w:rPr>
        <w:b/>
      </w:rPr>
      <w:t>INSTITUCION EDUCATIVA YERMO Y PARRES</w:t>
    </w:r>
  </w:p>
  <w:p w:rsidR="006A28FA" w:rsidRPr="006A28FA" w:rsidRDefault="006A28FA" w:rsidP="006A28FA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 w:rsidRPr="006A28FA">
      <w:rPr>
        <w:b/>
      </w:rPr>
      <w:t>MEDIA TECNICA – ASISTENCIA ADMINISTRATIVA – GRADO 1</w:t>
    </w:r>
    <w:r w:rsidR="000D66F4">
      <w:rPr>
        <w:b/>
      </w:rPr>
      <w:t>0</w:t>
    </w:r>
    <w:r w:rsidRPr="006A28FA">
      <w:rPr>
        <w:b/>
      </w:rPr>
      <w:t>°</w:t>
    </w:r>
  </w:p>
  <w:p w:rsidR="006A28FA" w:rsidRDefault="006A28FA" w:rsidP="006A28FA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 w:rsidRPr="006A28FA">
      <w:rPr>
        <w:b/>
      </w:rPr>
      <w:t>PROFESORA: DORA MARIA</w:t>
    </w:r>
  </w:p>
  <w:p w:rsidR="00FB0EE9" w:rsidRPr="006A28FA" w:rsidRDefault="00FB0EE9" w:rsidP="006A28FA">
    <w:pPr>
      <w:pStyle w:val="Encabezado"/>
      <w:tabs>
        <w:tab w:val="clear" w:pos="4419"/>
        <w:tab w:val="clear" w:pos="8838"/>
        <w:tab w:val="left" w:pos="1770"/>
      </w:tabs>
      <w:jc w:val="center"/>
      <w:rPr>
        <w:b/>
      </w:rPr>
    </w:pPr>
    <w:r>
      <w:rPr>
        <w:b/>
      </w:rPr>
      <w:t>*************************************************************</w:t>
    </w:r>
  </w:p>
  <w:p w:rsidR="006A28FA" w:rsidRDefault="006A28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7D2"/>
    <w:multiLevelType w:val="multilevel"/>
    <w:tmpl w:val="7A42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1684A"/>
    <w:multiLevelType w:val="multilevel"/>
    <w:tmpl w:val="6C2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D7557"/>
    <w:multiLevelType w:val="hybridMultilevel"/>
    <w:tmpl w:val="1AEE8E70"/>
    <w:lvl w:ilvl="0" w:tplc="8618B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3A3"/>
    <w:multiLevelType w:val="multilevel"/>
    <w:tmpl w:val="ABA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17310"/>
    <w:multiLevelType w:val="multilevel"/>
    <w:tmpl w:val="0DAA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D4354"/>
    <w:multiLevelType w:val="multilevel"/>
    <w:tmpl w:val="837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F3D05"/>
    <w:multiLevelType w:val="multilevel"/>
    <w:tmpl w:val="77E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15217"/>
    <w:multiLevelType w:val="hybridMultilevel"/>
    <w:tmpl w:val="EEA24998"/>
    <w:lvl w:ilvl="0" w:tplc="B16A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E4F" w:themeColor="text2" w:themeShade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E3FAD"/>
    <w:multiLevelType w:val="hybridMultilevel"/>
    <w:tmpl w:val="31260B62"/>
    <w:lvl w:ilvl="0" w:tplc="BB10F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33C08"/>
    <w:multiLevelType w:val="hybridMultilevel"/>
    <w:tmpl w:val="8340B6AC"/>
    <w:lvl w:ilvl="0" w:tplc="1444C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431"/>
    <w:multiLevelType w:val="hybridMultilevel"/>
    <w:tmpl w:val="DDEC45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FA"/>
    <w:rsid w:val="000D66F4"/>
    <w:rsid w:val="0018546A"/>
    <w:rsid w:val="001C14F0"/>
    <w:rsid w:val="00205C7B"/>
    <w:rsid w:val="002755DE"/>
    <w:rsid w:val="002F5C4E"/>
    <w:rsid w:val="005314A4"/>
    <w:rsid w:val="006314C5"/>
    <w:rsid w:val="006A28FA"/>
    <w:rsid w:val="006E1337"/>
    <w:rsid w:val="00736D00"/>
    <w:rsid w:val="00751FFE"/>
    <w:rsid w:val="007B1329"/>
    <w:rsid w:val="00850232"/>
    <w:rsid w:val="00942698"/>
    <w:rsid w:val="009B176C"/>
    <w:rsid w:val="009B514E"/>
    <w:rsid w:val="009E1FC3"/>
    <w:rsid w:val="00A560AA"/>
    <w:rsid w:val="00AA7BE3"/>
    <w:rsid w:val="00BC18B1"/>
    <w:rsid w:val="00C55272"/>
    <w:rsid w:val="00C7782D"/>
    <w:rsid w:val="00CA0E7C"/>
    <w:rsid w:val="00D27553"/>
    <w:rsid w:val="00D27B6E"/>
    <w:rsid w:val="00DC2AB4"/>
    <w:rsid w:val="00E62F6A"/>
    <w:rsid w:val="00EB00A5"/>
    <w:rsid w:val="00F16E99"/>
    <w:rsid w:val="00FB0EE9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F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6A2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0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0E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8F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ixguard">
    <w:name w:val="wixguard"/>
    <w:basedOn w:val="Fuentedeprrafopredeter"/>
    <w:rsid w:val="006A28FA"/>
  </w:style>
  <w:style w:type="paragraph" w:customStyle="1" w:styleId="font8">
    <w:name w:val="font_8"/>
    <w:basedOn w:val="Normal"/>
    <w:rsid w:val="006A28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A28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2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FA"/>
  </w:style>
  <w:style w:type="paragraph" w:styleId="Piedepgina">
    <w:name w:val="footer"/>
    <w:basedOn w:val="Normal"/>
    <w:link w:val="PiedepginaCar"/>
    <w:uiPriority w:val="99"/>
    <w:unhideWhenUsed/>
    <w:rsid w:val="006A2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FA"/>
  </w:style>
  <w:style w:type="paragraph" w:styleId="Prrafodelista">
    <w:name w:val="List Paragraph"/>
    <w:basedOn w:val="Normal"/>
    <w:uiPriority w:val="34"/>
    <w:qFormat/>
    <w:rsid w:val="00A560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anormal"/>
    <w:uiPriority w:val="48"/>
    <w:rsid w:val="00DC2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4Accent2">
    <w:name w:val="Grid Table 4 Accent 2"/>
    <w:basedOn w:val="Tablanormal"/>
    <w:uiPriority w:val="49"/>
    <w:rsid w:val="00DC2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FB0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0E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l">
    <w:name w:val="hl"/>
    <w:basedOn w:val="Normal"/>
    <w:rsid w:val="00FB0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text-large">
    <w:name w:val="text-large"/>
    <w:basedOn w:val="Normal"/>
    <w:rsid w:val="00FB0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ory-contentsfont-paragraph">
    <w:name w:val="story-contents__font-paragraph"/>
    <w:basedOn w:val="Normal"/>
    <w:rsid w:val="007B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B13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hgkelc">
    <w:name w:val="hgkelc"/>
    <w:basedOn w:val="Fuentedeprrafopredeter"/>
    <w:rsid w:val="00C7782D"/>
  </w:style>
  <w:style w:type="paragraph" w:styleId="Textoindependiente">
    <w:name w:val="Body Text"/>
    <w:basedOn w:val="Normal"/>
    <w:link w:val="TextoindependienteCar"/>
    <w:uiPriority w:val="1"/>
    <w:qFormat/>
    <w:rsid w:val="001C14F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14F0"/>
    <w:rPr>
      <w:rFonts w:ascii="Arial Narrow" w:eastAsia="Arial Narrow" w:hAnsi="Arial Narrow" w:cs="Arial Narrow"/>
      <w:sz w:val="24"/>
      <w:szCs w:val="24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F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6A2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0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0E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8F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ixguard">
    <w:name w:val="wixguard"/>
    <w:basedOn w:val="Fuentedeprrafopredeter"/>
    <w:rsid w:val="006A28FA"/>
  </w:style>
  <w:style w:type="paragraph" w:customStyle="1" w:styleId="font8">
    <w:name w:val="font_8"/>
    <w:basedOn w:val="Normal"/>
    <w:rsid w:val="006A28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A28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2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FA"/>
  </w:style>
  <w:style w:type="paragraph" w:styleId="Piedepgina">
    <w:name w:val="footer"/>
    <w:basedOn w:val="Normal"/>
    <w:link w:val="PiedepginaCar"/>
    <w:uiPriority w:val="99"/>
    <w:unhideWhenUsed/>
    <w:rsid w:val="006A2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FA"/>
  </w:style>
  <w:style w:type="paragraph" w:styleId="Prrafodelista">
    <w:name w:val="List Paragraph"/>
    <w:basedOn w:val="Normal"/>
    <w:uiPriority w:val="34"/>
    <w:qFormat/>
    <w:rsid w:val="00A560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anormal"/>
    <w:uiPriority w:val="48"/>
    <w:rsid w:val="00DC2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4Accent2">
    <w:name w:val="Grid Table 4 Accent 2"/>
    <w:basedOn w:val="Tablanormal"/>
    <w:uiPriority w:val="49"/>
    <w:rsid w:val="00DC2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FB0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0E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l">
    <w:name w:val="hl"/>
    <w:basedOn w:val="Normal"/>
    <w:rsid w:val="00FB0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text-large">
    <w:name w:val="text-large"/>
    <w:basedOn w:val="Normal"/>
    <w:rsid w:val="00FB0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ory-contentsfont-paragraph">
    <w:name w:val="story-contents__font-paragraph"/>
    <w:basedOn w:val="Normal"/>
    <w:rsid w:val="007B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B13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hgkelc">
    <w:name w:val="hgkelc"/>
    <w:basedOn w:val="Fuentedeprrafopredeter"/>
    <w:rsid w:val="00C7782D"/>
  </w:style>
  <w:style w:type="paragraph" w:styleId="Textoindependiente">
    <w:name w:val="Body Text"/>
    <w:basedOn w:val="Normal"/>
    <w:link w:val="TextoindependienteCar"/>
    <w:uiPriority w:val="1"/>
    <w:qFormat/>
    <w:rsid w:val="001C14F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14F0"/>
    <w:rPr>
      <w:rFonts w:ascii="Arial Narrow" w:eastAsia="Arial Narrow" w:hAnsi="Arial Narrow" w:cs="Arial Narrow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chivogeneral.gov.c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unesco.org/culture/natlaws/media/pdf/colombia/colombia_ley_594_04_07_2000_spa_orof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2408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MI PC</cp:lastModifiedBy>
  <cp:revision>2</cp:revision>
  <dcterms:created xsi:type="dcterms:W3CDTF">2025-09-02T14:47:00Z</dcterms:created>
  <dcterms:modified xsi:type="dcterms:W3CDTF">2025-09-02T14:47:00Z</dcterms:modified>
</cp:coreProperties>
</file>